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334" w:rsidRDefault="005006F9" w:rsidP="00DA38CE">
      <w:pPr>
        <w:spacing w:after="0" w:line="240" w:lineRule="auto"/>
        <w:jc w:val="center"/>
        <w:rPr>
          <w:b/>
        </w:rPr>
      </w:pPr>
      <w:r>
        <w:rPr>
          <w:b/>
        </w:rPr>
        <w:t xml:space="preserve">Список законодательных и нормативных правовых актов </w:t>
      </w:r>
    </w:p>
    <w:p w:rsidR="00CF2334" w:rsidRDefault="00CF2334" w:rsidP="00CF2334">
      <w:pPr>
        <w:spacing w:after="0" w:line="240" w:lineRule="auto"/>
        <w:ind w:firstLine="851"/>
        <w:jc w:val="center"/>
        <w:rPr>
          <w:b/>
        </w:rPr>
      </w:pPr>
    </w:p>
    <w:p w:rsidR="00DA38CE" w:rsidRPr="00DA38CE" w:rsidRDefault="00DA38CE" w:rsidP="005006F9">
      <w:pPr>
        <w:rPr>
          <w:b/>
        </w:rPr>
      </w:pPr>
      <w:r w:rsidRPr="00DA38CE">
        <w:rPr>
          <w:b/>
        </w:rPr>
        <w:t xml:space="preserve">Общие вопросы </w:t>
      </w:r>
    </w:p>
    <w:p w:rsidR="005006F9" w:rsidRDefault="005006F9" w:rsidP="005006F9">
      <w:r>
        <w:t xml:space="preserve">Федеральный закон от 12.06.2002 № 67-ФЗ </w:t>
      </w:r>
    </w:p>
    <w:p w:rsidR="005006F9" w:rsidRDefault="008C5C0D" w:rsidP="005006F9">
      <w:r>
        <w:t>«</w:t>
      </w:r>
      <w:r w:rsidR="005006F9">
        <w:t>Об основных гарантиях избирательных прав и права на участие в референдуме граждан Российской Федерации</w:t>
      </w:r>
      <w:r>
        <w:t>»</w:t>
      </w:r>
    </w:p>
    <w:p w:rsidR="005006F9" w:rsidRDefault="00462287" w:rsidP="005006F9">
      <w:hyperlink r:id="rId7" w:anchor="/document/184566/paragraph/4360280:0" w:history="1">
        <w:r w:rsidR="0019215F" w:rsidRPr="00A162AA">
          <w:rPr>
            <w:rStyle w:val="a3"/>
          </w:rPr>
          <w:t>http://ivo.garant.ru/#/document/184566/paragraph/4360280:0</w:t>
        </w:r>
      </w:hyperlink>
    </w:p>
    <w:p w:rsidR="0019215F" w:rsidRDefault="0019215F" w:rsidP="005006F9"/>
    <w:p w:rsidR="005006F9" w:rsidRDefault="005006F9" w:rsidP="005006F9">
      <w:r>
        <w:t>Федеральный закон от 22.02.2014 № 20-ФЗ</w:t>
      </w:r>
    </w:p>
    <w:p w:rsidR="005006F9" w:rsidRDefault="008C5C0D" w:rsidP="005006F9">
      <w:r>
        <w:t>«</w:t>
      </w:r>
      <w:r w:rsidR="005006F9">
        <w:t>О выборах депутатов Государственной Думы Федерального Собрания Российской Федерации</w:t>
      </w:r>
      <w:r>
        <w:t>»</w:t>
      </w:r>
    </w:p>
    <w:p w:rsidR="005006F9" w:rsidRDefault="00462287" w:rsidP="005006F9">
      <w:hyperlink r:id="rId8" w:anchor="/document/70595878/paragraph/1:0" w:history="1">
        <w:r w:rsidR="0019215F" w:rsidRPr="00A162AA">
          <w:rPr>
            <w:rStyle w:val="a3"/>
          </w:rPr>
          <w:t>http://ivo.garant.ru/#/document/70595878/paragraph/1:0</w:t>
        </w:r>
      </w:hyperlink>
    </w:p>
    <w:p w:rsidR="0019215F" w:rsidRPr="00DA38CE" w:rsidRDefault="00DA38CE" w:rsidP="005006F9">
      <w:pPr>
        <w:rPr>
          <w:b/>
        </w:rPr>
      </w:pPr>
      <w:r w:rsidRPr="00DA38CE">
        <w:rPr>
          <w:b/>
        </w:rPr>
        <w:t>Организация голосования в дни голосования</w:t>
      </w:r>
    </w:p>
    <w:p w:rsidR="00397DAA" w:rsidRDefault="00397DAA" w:rsidP="00DA38CE">
      <w:r w:rsidRPr="00397DAA">
        <w:t xml:space="preserve">Постановление ЦИК России от 01.07.2021 </w:t>
      </w:r>
      <w:r>
        <w:t>№</w:t>
      </w:r>
      <w:r w:rsidRPr="00397DAA">
        <w:t xml:space="preserve"> 13/103-8 </w:t>
      </w:r>
    </w:p>
    <w:p w:rsidR="00DA38CE" w:rsidRDefault="00397DAA" w:rsidP="00DA38CE">
      <w:r>
        <w:t>«</w:t>
      </w:r>
      <w:r w:rsidRPr="00397DAA">
        <w:t>О Положении об особенностях голосования, установления итогов голосования при проведении голосования на выборах, референдумах, назначенных на 19 сентября 2021 года, в</w:t>
      </w:r>
      <w:r>
        <w:t xml:space="preserve"> течение нескольких дней подряд»</w:t>
      </w:r>
    </w:p>
    <w:p w:rsidR="00397DAA" w:rsidRDefault="00462287" w:rsidP="00DA38CE">
      <w:hyperlink r:id="rId9" w:history="1">
        <w:r w:rsidR="00397DAA" w:rsidRPr="00625029">
          <w:rPr>
            <w:rStyle w:val="a3"/>
          </w:rPr>
          <w:t>http://www.cikrf.ru/activity/docs/postanovleniya/49558/</w:t>
        </w:r>
      </w:hyperlink>
    </w:p>
    <w:p w:rsidR="00397DAA" w:rsidRDefault="00397DAA" w:rsidP="00DA38CE"/>
    <w:p w:rsidR="008F4E19" w:rsidRDefault="008F4E19" w:rsidP="008F4E19">
      <w:r>
        <w:t>Постановление ЦИК России от 08.02.2018 № 139/1148-7</w:t>
      </w:r>
    </w:p>
    <w:p w:rsidR="008F4E19" w:rsidRDefault="008F4E19" w:rsidP="008F4E19">
      <w:r>
        <w:t>(</w:t>
      </w:r>
      <w:proofErr w:type="gramStart"/>
      <w:r>
        <w:t>с</w:t>
      </w:r>
      <w:proofErr w:type="gramEnd"/>
      <w:r>
        <w:t xml:space="preserve"> изменениями внесенными постановлениями ЦИК России от 03.07.2019 №</w:t>
      </w:r>
      <w:r w:rsidR="00174EC6">
        <w:t> </w:t>
      </w:r>
      <w:r>
        <w:t>209/1602-7, от 21.08.2019 № 222/1681-7, от 02.09.2020 № 266/1970-7</w:t>
      </w:r>
      <w:r w:rsidR="0000236B">
        <w:t>, от 14.07.2021 № 20/180-8</w:t>
      </w:r>
      <w:r>
        <w:t>)</w:t>
      </w:r>
    </w:p>
    <w:p w:rsidR="008F4E19" w:rsidRDefault="008F4E19" w:rsidP="008F4E19">
      <w:r>
        <w:t>«</w:t>
      </w:r>
      <w:r w:rsidRPr="005702B0">
        <w:t xml:space="preserve">Об Инструкции о порядке использования технических средств подсчета голосов </w:t>
      </w:r>
      <w:r w:rsidR="0000236B">
        <w:t>–</w:t>
      </w:r>
      <w:r w:rsidRPr="005702B0">
        <w:t xml:space="preserve"> комплексов обработки избирательных бюллетеней 2017 на выборах и референдумах, проводимых в Российской Федерации</w:t>
      </w:r>
      <w:r>
        <w:t>»</w:t>
      </w:r>
    </w:p>
    <w:p w:rsidR="008F4E19" w:rsidRDefault="00462287" w:rsidP="008F4E19">
      <w:hyperlink r:id="rId10" w:history="1">
        <w:r w:rsidR="008F4E19" w:rsidRPr="00A162AA">
          <w:rPr>
            <w:rStyle w:val="a3"/>
          </w:rPr>
          <w:t>http://www.cikrf.ru/activity/docs/postanovleniya/39021/</w:t>
        </w:r>
      </w:hyperlink>
    </w:p>
    <w:p w:rsidR="008F4E19" w:rsidRDefault="008F4E19" w:rsidP="008F4E19"/>
    <w:p w:rsidR="008F4E19" w:rsidRDefault="008F4E19" w:rsidP="008F4E19">
      <w:r>
        <w:t>Постановление ЦИК России от 15.02.2017 № 74/667-7</w:t>
      </w:r>
    </w:p>
    <w:p w:rsidR="008F4E19" w:rsidRDefault="008F4E19" w:rsidP="008F4E19">
      <w:r>
        <w:t>(</w:t>
      </w:r>
      <w:proofErr w:type="gramStart"/>
      <w:r>
        <w:t>с</w:t>
      </w:r>
      <w:proofErr w:type="gramEnd"/>
      <w:r>
        <w:t xml:space="preserve"> изменениями внесенными постановлением ЦИК России </w:t>
      </w:r>
      <w:r w:rsidRPr="00493F79">
        <w:t xml:space="preserve">от 27.03.2019 </w:t>
      </w:r>
      <w:r>
        <w:t>№</w:t>
      </w:r>
      <w:r w:rsidR="00174EC6">
        <w:t> </w:t>
      </w:r>
      <w:r w:rsidRPr="00493F79">
        <w:t>198/1520-7</w:t>
      </w:r>
      <w:r>
        <w:t>)</w:t>
      </w:r>
    </w:p>
    <w:p w:rsidR="008F4E19" w:rsidRDefault="008F4E19" w:rsidP="008F4E19">
      <w:r>
        <w:lastRenderedPageBreak/>
        <w:t>«О применении технологии изготовления протоколов участковых комиссий об итогах голосования с машиночитаемым кодом и ускоренного ввода данных протоколов участковых комиссий об итогах голосования в Государственную автоматизированную систему Российской Федерации «Выборы» с использованием машиночитаемого кода»</w:t>
      </w:r>
    </w:p>
    <w:p w:rsidR="008F4E19" w:rsidRDefault="00462287" w:rsidP="008F4E19">
      <w:hyperlink r:id="rId11" w:history="1">
        <w:r w:rsidR="008F4E19" w:rsidRPr="00A162AA">
          <w:rPr>
            <w:rStyle w:val="a3"/>
          </w:rPr>
          <w:t>http://www.cikrf.ru/activity/docs/postanovleniya/28607/</w:t>
        </w:r>
      </w:hyperlink>
    </w:p>
    <w:p w:rsidR="008F4E19" w:rsidRDefault="00462287" w:rsidP="008F4E19">
      <w:hyperlink r:id="rId12" w:history="1">
        <w:r w:rsidR="008F4E19" w:rsidRPr="00A162AA">
          <w:rPr>
            <w:rStyle w:val="a3"/>
          </w:rPr>
          <w:t>http://www.cikrf.ru/activity/docs/postanovleniya/42489/</w:t>
        </w:r>
      </w:hyperlink>
    </w:p>
    <w:p w:rsidR="0000236B" w:rsidRDefault="0000236B" w:rsidP="008F4E19"/>
    <w:p w:rsidR="008F4E19" w:rsidRDefault="008F4E19" w:rsidP="008F4E19">
      <w:r>
        <w:t>Постановление ЦИК России от 29.07.2020 № 262/1933-7</w:t>
      </w:r>
    </w:p>
    <w:p w:rsidR="008F4E19" w:rsidRDefault="008F4E19" w:rsidP="008F4E19">
      <w:r>
        <w:t>(</w:t>
      </w:r>
      <w:proofErr w:type="gramStart"/>
      <w:r w:rsidRPr="00F240A2">
        <w:t>с</w:t>
      </w:r>
      <w:proofErr w:type="gramEnd"/>
      <w:r w:rsidRPr="00F240A2">
        <w:t xml:space="preserve"> изменениями внесенными постановлением ЦИК России</w:t>
      </w:r>
      <w:r>
        <w:t xml:space="preserve"> </w:t>
      </w:r>
      <w:r w:rsidRPr="00F240A2">
        <w:t xml:space="preserve">от 09.06.2021 </w:t>
      </w:r>
      <w:r>
        <w:t>№ </w:t>
      </w:r>
      <w:r w:rsidRPr="00F240A2">
        <w:t>9/78-8</w:t>
      </w:r>
      <w:r>
        <w:t>)</w:t>
      </w:r>
    </w:p>
    <w:p w:rsidR="008F4E19" w:rsidRDefault="008F4E19" w:rsidP="008F4E19">
      <w:r>
        <w:t xml:space="preserve">«О Рекомендациях по обеспечению избирательных прав граждан Российской Федерации, являющихся инвалидами, при проведении выборов в Российской Федерации» </w:t>
      </w:r>
    </w:p>
    <w:p w:rsidR="008F4E19" w:rsidRDefault="00837748" w:rsidP="008F4E19">
      <w:hyperlink r:id="rId13" w:history="1">
        <w:r w:rsidRPr="00246D26">
          <w:rPr>
            <w:rStyle w:val="a3"/>
          </w:rPr>
          <w:t>http://www.cikrf.ru/activity/docs/postanovleniya/47124/</w:t>
        </w:r>
      </w:hyperlink>
    </w:p>
    <w:p w:rsidR="00837748" w:rsidRDefault="00837748" w:rsidP="008F4E19"/>
    <w:p w:rsidR="008F4E19" w:rsidRDefault="008F4E19" w:rsidP="008F4E19">
      <w:r>
        <w:t>Постановление ЦИК России от 08.08.2018 № 174/1414-7</w:t>
      </w:r>
    </w:p>
    <w:p w:rsidR="008F4E19" w:rsidRDefault="008F4E19" w:rsidP="008F4E19">
      <w:r>
        <w:t>(</w:t>
      </w:r>
      <w:proofErr w:type="gramStart"/>
      <w:r>
        <w:t>с</w:t>
      </w:r>
      <w:proofErr w:type="gramEnd"/>
      <w:r>
        <w:t xml:space="preserve"> изменениями внесенными постановлениями ЦИК России т 17.07.2019 № 212/1622-7,от 29.07.2020 № 262/1935-7, от 16.06.2021 № 10/82-8)</w:t>
      </w:r>
    </w:p>
    <w:p w:rsidR="008F4E19" w:rsidRDefault="008F4E19" w:rsidP="008F4E19">
      <w:r>
        <w:t>«О Методических рекомендациях по организации голосования отдельных категорий избирателей при проведении выборов на территории Российской Федерации»</w:t>
      </w:r>
    </w:p>
    <w:p w:rsidR="008F4E19" w:rsidRDefault="00462287" w:rsidP="008F4E19">
      <w:hyperlink r:id="rId14" w:history="1">
        <w:r w:rsidR="008F4E19" w:rsidRPr="00F058D2">
          <w:rPr>
            <w:rStyle w:val="a3"/>
          </w:rPr>
          <w:t>http://www.cikrf.ru/activity/docs/postanovleniya/40468/</w:t>
        </w:r>
      </w:hyperlink>
    </w:p>
    <w:p w:rsidR="008F4E19" w:rsidRDefault="008F4E19" w:rsidP="008F4E19"/>
    <w:p w:rsidR="00DA38CE" w:rsidRDefault="00DA38CE" w:rsidP="00DA38CE">
      <w:r>
        <w:t>Постановление ЦИК России от 18.06.2021 № 11/88-8</w:t>
      </w:r>
    </w:p>
    <w:p w:rsidR="00DA38CE" w:rsidRDefault="00DA38CE" w:rsidP="00DA38CE">
      <w:r>
        <w:t>«</w:t>
      </w:r>
      <w:r w:rsidRPr="00CE3829">
        <w:t>О Календарном плане мероприятий по подготовке и проведению выборов депутатов Государственной Думы Федерального Собрания Российской Федерации восьмого созыва</w:t>
      </w:r>
      <w:r>
        <w:t>»</w:t>
      </w:r>
    </w:p>
    <w:p w:rsidR="00DA38CE" w:rsidRDefault="00462287" w:rsidP="00DA38CE">
      <w:pPr>
        <w:rPr>
          <w:rStyle w:val="a3"/>
        </w:rPr>
      </w:pPr>
      <w:hyperlink r:id="rId15" w:history="1">
        <w:r w:rsidR="00DA38CE" w:rsidRPr="00A162AA">
          <w:rPr>
            <w:rStyle w:val="a3"/>
          </w:rPr>
          <w:t>http://www.cikrf.ru/activity/docs/postanovleniya/49499/</w:t>
        </w:r>
      </w:hyperlink>
    </w:p>
    <w:p w:rsidR="00DA38CE" w:rsidRDefault="00DA38CE" w:rsidP="00DA38CE"/>
    <w:p w:rsidR="00DA38CE" w:rsidRDefault="00DA38CE" w:rsidP="00DA38CE">
      <w:r>
        <w:t>Постановление ЦИК России от 25.05.2021 № 7/54-8</w:t>
      </w:r>
    </w:p>
    <w:p w:rsidR="00DA38CE" w:rsidRDefault="00DA38CE" w:rsidP="00DA38CE">
      <w:r>
        <w:t xml:space="preserve">«О порядке использования Государственной автоматизированной системы Российской Федерации «Выборы» при подготовке и проведении выборов </w:t>
      </w:r>
      <w:r>
        <w:lastRenderedPageBreak/>
        <w:t>депутатов Государственной Думы Федерального Собрания Российской Федерации восьмого созыва»</w:t>
      </w:r>
    </w:p>
    <w:p w:rsidR="00DA38CE" w:rsidRDefault="00462287" w:rsidP="00DA38CE">
      <w:hyperlink r:id="rId16" w:history="1">
        <w:r w:rsidR="00DA38CE" w:rsidRPr="00F058D2">
          <w:rPr>
            <w:rStyle w:val="a3"/>
          </w:rPr>
          <w:t>http://www.cikrf.ru/activity/docs/postanovleniya/49329/</w:t>
        </w:r>
      </w:hyperlink>
    </w:p>
    <w:p w:rsidR="00DA38CE" w:rsidRDefault="00DA38CE" w:rsidP="00DA38CE"/>
    <w:p w:rsidR="00DA38CE" w:rsidRDefault="00DA38CE" w:rsidP="00DA38CE">
      <w:r>
        <w:t>Постановление ЦИК России от 28.04.2021 № 4/30-8</w:t>
      </w:r>
    </w:p>
    <w:p w:rsidR="00DA38CE" w:rsidRDefault="00DA38CE" w:rsidP="00DA38CE">
      <w:r>
        <w:t>«О вопросах, связанных с изготовлением и доставкой избирательных бюллетеней для голосования на выборах депутатов Государственной Думы Федерального Собрания Российской Федерации восьмого созыва»</w:t>
      </w:r>
    </w:p>
    <w:p w:rsidR="00DA38CE" w:rsidRDefault="00462287" w:rsidP="00DA38CE">
      <w:hyperlink r:id="rId17" w:history="1">
        <w:r w:rsidR="00DA38CE" w:rsidRPr="00F058D2">
          <w:rPr>
            <w:rStyle w:val="a3"/>
          </w:rPr>
          <w:t>http://www.cikrf.ru/activity/docs/postanovleniya/49233/</w:t>
        </w:r>
      </w:hyperlink>
    </w:p>
    <w:p w:rsidR="00DA38CE" w:rsidRDefault="00DA38CE" w:rsidP="00DA38CE"/>
    <w:p w:rsidR="00DA38CE" w:rsidRPr="00DA38CE" w:rsidRDefault="00DA38CE" w:rsidP="00DA38CE">
      <w:pPr>
        <w:rPr>
          <w:b/>
        </w:rPr>
      </w:pPr>
      <w:r w:rsidRPr="00DA38CE">
        <w:rPr>
          <w:b/>
        </w:rPr>
        <w:t>Установление итогов голосования</w:t>
      </w:r>
    </w:p>
    <w:p w:rsidR="00DA38CE" w:rsidRDefault="00DA38CE" w:rsidP="00DA38CE">
      <w:r w:rsidRPr="00166B0C">
        <w:t xml:space="preserve">Постановление ЦИК России </w:t>
      </w:r>
      <w:r w:rsidRPr="006A52A8">
        <w:t xml:space="preserve">от 21.07.2021 </w:t>
      </w:r>
      <w:r>
        <w:t>№</w:t>
      </w:r>
      <w:r w:rsidRPr="006A52A8">
        <w:t xml:space="preserve"> 27/236-8</w:t>
      </w:r>
    </w:p>
    <w:p w:rsidR="00DA38CE" w:rsidRDefault="00DA38CE" w:rsidP="00DA38CE">
      <w:r>
        <w:t>«</w:t>
      </w:r>
      <w:r w:rsidRPr="006A52A8">
        <w:t>О формах протоколов об итогах голосования, о результатах выборов и сводных таблиц, составляемых избирательными комиссиями при проведении выборов депутатов Государственной Думы Федерального Собрания Российской Федерации восьмого созыва</w:t>
      </w:r>
      <w:r>
        <w:t>»</w:t>
      </w:r>
    </w:p>
    <w:p w:rsidR="00DA38CE" w:rsidRDefault="00462287" w:rsidP="00DA38CE">
      <w:hyperlink r:id="rId18" w:history="1">
        <w:r w:rsidR="00DA38CE" w:rsidRPr="00ED51B0">
          <w:rPr>
            <w:rStyle w:val="a3"/>
          </w:rPr>
          <w:t>http://www.cikrf.ru/activity/docs/postanovleniya/49811/</w:t>
        </w:r>
      </w:hyperlink>
    </w:p>
    <w:p w:rsidR="00DA38CE" w:rsidRDefault="00DA38CE" w:rsidP="00DA38CE"/>
    <w:p w:rsidR="00DA38CE" w:rsidRDefault="00DA38CE" w:rsidP="00DA38CE">
      <w:r w:rsidRPr="00166B0C">
        <w:t xml:space="preserve">Постановление ЦИК России </w:t>
      </w:r>
      <w:r w:rsidRPr="006A52A8">
        <w:t xml:space="preserve">от 21.07.2021 </w:t>
      </w:r>
      <w:r>
        <w:t>№</w:t>
      </w:r>
      <w:r w:rsidRPr="006A52A8">
        <w:t xml:space="preserve"> 27/237-8</w:t>
      </w:r>
    </w:p>
    <w:p w:rsidR="00DA38CE" w:rsidRDefault="00DA38CE" w:rsidP="00DA38CE">
      <w:r>
        <w:t>«</w:t>
      </w:r>
      <w:r w:rsidRPr="006A52A8">
        <w:t>Об Инструкции по организации единого порядка установления итогов голосования, определения результатов выборов с использованием Государственной автоматизированной системы Российской Федерации "Выборы" при проведении выборов депутатов Государственной Думы Федерального Собрания Российской Федерации восьмого созыва</w:t>
      </w:r>
      <w:r>
        <w:t>»</w:t>
      </w:r>
    </w:p>
    <w:p w:rsidR="00DA38CE" w:rsidRDefault="00462287" w:rsidP="00DA38CE">
      <w:hyperlink r:id="rId19" w:history="1">
        <w:r w:rsidR="00DA38CE" w:rsidRPr="00ED51B0">
          <w:rPr>
            <w:rStyle w:val="a3"/>
          </w:rPr>
          <w:t>http://www.cikrf.ru/activity/docs/postanovleniya/49827/</w:t>
        </w:r>
      </w:hyperlink>
    </w:p>
    <w:p w:rsidR="00DA38CE" w:rsidRDefault="00DA38CE" w:rsidP="00DA38CE"/>
    <w:p w:rsidR="00DA38CE" w:rsidRDefault="00DA38CE" w:rsidP="00DA38CE">
      <w:r>
        <w:t>Постановление ЦИК России от 16.06.2021 № 10/83-8</w:t>
      </w:r>
    </w:p>
    <w:p w:rsidR="00DA38CE" w:rsidRDefault="00DA38CE" w:rsidP="00DA38CE">
      <w:r>
        <w:t>«</w:t>
      </w:r>
      <w:r w:rsidRPr="006146DD">
        <w:t>О применении технологии изготовления протоколов участковых комиссий об итогах голосования с машиночитаемым кодом и ускоренного ввода данных протоколов участковых комиссий об итогах голосования в Государственную автоматизированную систему Российской Федерации «Выборы» с использованием машиночитаемого кода при проведении выборов депутатов Государственной Думы Федерального Собрания Российской Федерации восьмого созыва</w:t>
      </w:r>
      <w:r>
        <w:t>»</w:t>
      </w:r>
    </w:p>
    <w:p w:rsidR="00DA38CE" w:rsidRDefault="00462287" w:rsidP="00DA38CE">
      <w:hyperlink r:id="rId20" w:history="1">
        <w:r w:rsidR="00DA38CE" w:rsidRPr="00F058D2">
          <w:rPr>
            <w:rStyle w:val="a3"/>
          </w:rPr>
          <w:t>http://www.cikrf.ru/activity/docs/postanovleniya/49483/</w:t>
        </w:r>
      </w:hyperlink>
    </w:p>
    <w:p w:rsidR="008C5C0D" w:rsidRDefault="008C5C0D" w:rsidP="007D219C"/>
    <w:p w:rsidR="00DA38CE" w:rsidRPr="00DA38CE" w:rsidRDefault="00DA38CE" w:rsidP="00423936">
      <w:pPr>
        <w:rPr>
          <w:b/>
        </w:rPr>
      </w:pPr>
      <w:r w:rsidRPr="00DA38CE">
        <w:rPr>
          <w:b/>
        </w:rPr>
        <w:t>О</w:t>
      </w:r>
      <w:r w:rsidR="008F4E19">
        <w:rPr>
          <w:b/>
        </w:rPr>
        <w:t>беспечение деятельности УИК</w:t>
      </w:r>
    </w:p>
    <w:p w:rsidR="00942D6E" w:rsidRDefault="00DA38CE" w:rsidP="00423936">
      <w:r>
        <w:t>Постановление</w:t>
      </w:r>
      <w:r w:rsidR="00423936" w:rsidRPr="00423936">
        <w:t xml:space="preserve"> ЦИК России от 23.06.2021 №</w:t>
      </w:r>
      <w:r w:rsidR="00423936">
        <w:t>12/94-8</w:t>
      </w:r>
    </w:p>
    <w:p w:rsidR="00423936" w:rsidRDefault="00423936" w:rsidP="00423936">
      <w:r>
        <w:t>«</w:t>
      </w:r>
      <w:r w:rsidRPr="00423936">
        <w:t>О размерах и порядке выплаты компенсации и дополнительной оплаты труда (вознаграждения), а также иных выплат в период подготовки и проведения выборов депутатов Государственной Думы Федерального Собрания Российской Федерации восьмого созыва</w:t>
      </w:r>
      <w:r>
        <w:t>»</w:t>
      </w:r>
    </w:p>
    <w:p w:rsidR="00423936" w:rsidRDefault="00462287" w:rsidP="00423936">
      <w:hyperlink r:id="rId21" w:history="1">
        <w:r w:rsidR="00423936" w:rsidRPr="00F058D2">
          <w:rPr>
            <w:rStyle w:val="a3"/>
          </w:rPr>
          <w:t>http://www.cikrf.ru/activity/docs/postanovleniya/49521/</w:t>
        </w:r>
      </w:hyperlink>
    </w:p>
    <w:p w:rsidR="00942D6E" w:rsidRDefault="00942D6E" w:rsidP="007D219C"/>
    <w:p w:rsidR="008C5C0D" w:rsidRDefault="008C5C0D" w:rsidP="008C5C0D">
      <w:r>
        <w:t>Постановление ЦИК России от 18.05.2016 № 7/65-7</w:t>
      </w:r>
    </w:p>
    <w:p w:rsidR="008C5C0D" w:rsidRDefault="008C5C0D" w:rsidP="008C5C0D">
      <w:r>
        <w:t>«О печатях избирательных комиссий, осуществляющих подготовку и проведение выборов депутатов Государственной Думы Федерального Собрания Российской Федерации»</w:t>
      </w:r>
    </w:p>
    <w:bookmarkStart w:id="0" w:name="_GoBack"/>
    <w:p w:rsidR="008C5C0D" w:rsidRDefault="00462287" w:rsidP="008C5C0D">
      <w:r>
        <w:fldChar w:fldCharType="begin"/>
      </w:r>
      <w:r>
        <w:instrText xml:space="preserve"> HYPERLINK "http://www.cikrf.ru/activity/docs/postanovleniya/27910/" </w:instrText>
      </w:r>
      <w:r>
        <w:fldChar w:fldCharType="separate"/>
      </w:r>
      <w:r w:rsidR="008C5C0D" w:rsidRPr="00F058D2">
        <w:rPr>
          <w:rStyle w:val="a3"/>
        </w:rPr>
        <w:t>http://www.cikrf.ru/activity/docs/postanovleniya/27910/</w:t>
      </w:r>
      <w:r>
        <w:rPr>
          <w:rStyle w:val="a3"/>
        </w:rPr>
        <w:fldChar w:fldCharType="end"/>
      </w:r>
      <w:bookmarkEnd w:id="0"/>
    </w:p>
    <w:p w:rsidR="008C5C0D" w:rsidRDefault="008C5C0D" w:rsidP="00B033F0"/>
    <w:sectPr w:rsidR="008C5C0D" w:rsidSect="00397DAA">
      <w:headerReference w:type="default" r:id="rId22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2287" w:rsidRDefault="00462287" w:rsidP="00397DAA">
      <w:pPr>
        <w:spacing w:after="0" w:line="240" w:lineRule="auto"/>
      </w:pPr>
      <w:r>
        <w:separator/>
      </w:r>
    </w:p>
  </w:endnote>
  <w:endnote w:type="continuationSeparator" w:id="0">
    <w:p w:rsidR="00462287" w:rsidRDefault="00462287" w:rsidP="00397D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2287" w:rsidRDefault="00462287" w:rsidP="00397DAA">
      <w:pPr>
        <w:spacing w:after="0" w:line="240" w:lineRule="auto"/>
      </w:pPr>
      <w:r>
        <w:separator/>
      </w:r>
    </w:p>
  </w:footnote>
  <w:footnote w:type="continuationSeparator" w:id="0">
    <w:p w:rsidR="00462287" w:rsidRDefault="00462287" w:rsidP="00397D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57799094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397DAA" w:rsidRPr="00397DAA" w:rsidRDefault="00397DAA" w:rsidP="00397DAA">
        <w:pPr>
          <w:pStyle w:val="a5"/>
          <w:jc w:val="center"/>
          <w:rPr>
            <w:sz w:val="24"/>
            <w:szCs w:val="24"/>
          </w:rPr>
        </w:pPr>
        <w:r w:rsidRPr="00397DAA">
          <w:rPr>
            <w:sz w:val="24"/>
            <w:szCs w:val="24"/>
          </w:rPr>
          <w:fldChar w:fldCharType="begin"/>
        </w:r>
        <w:r w:rsidRPr="00397DAA">
          <w:rPr>
            <w:sz w:val="24"/>
            <w:szCs w:val="24"/>
          </w:rPr>
          <w:instrText xml:space="preserve"> PAGE   \* MERGEFORMAT </w:instrText>
        </w:r>
        <w:r w:rsidRPr="00397DAA">
          <w:rPr>
            <w:sz w:val="24"/>
            <w:szCs w:val="24"/>
          </w:rPr>
          <w:fldChar w:fldCharType="separate"/>
        </w:r>
        <w:r w:rsidR="00837748">
          <w:rPr>
            <w:noProof/>
            <w:sz w:val="24"/>
            <w:szCs w:val="24"/>
          </w:rPr>
          <w:t>2</w:t>
        </w:r>
        <w:r w:rsidRPr="00397DAA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AB6CCE"/>
    <w:multiLevelType w:val="hybridMultilevel"/>
    <w:tmpl w:val="BBC87B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686B12FB"/>
    <w:multiLevelType w:val="hybridMultilevel"/>
    <w:tmpl w:val="9EE8C96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6E840B69"/>
    <w:multiLevelType w:val="hybridMultilevel"/>
    <w:tmpl w:val="EF622DB8"/>
    <w:lvl w:ilvl="0" w:tplc="48287C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19C"/>
    <w:rsid w:val="0000236B"/>
    <w:rsid w:val="0016196F"/>
    <w:rsid w:val="00174EC6"/>
    <w:rsid w:val="0019215F"/>
    <w:rsid w:val="002A0FD3"/>
    <w:rsid w:val="002A4575"/>
    <w:rsid w:val="00397DAA"/>
    <w:rsid w:val="00415AE9"/>
    <w:rsid w:val="00423936"/>
    <w:rsid w:val="00446B3A"/>
    <w:rsid w:val="00462287"/>
    <w:rsid w:val="00493F79"/>
    <w:rsid w:val="004D1CC8"/>
    <w:rsid w:val="005006F9"/>
    <w:rsid w:val="005702B0"/>
    <w:rsid w:val="005B35A6"/>
    <w:rsid w:val="006146DD"/>
    <w:rsid w:val="0068487F"/>
    <w:rsid w:val="006A0805"/>
    <w:rsid w:val="007B188C"/>
    <w:rsid w:val="007D219C"/>
    <w:rsid w:val="00837748"/>
    <w:rsid w:val="008C54A8"/>
    <w:rsid w:val="008C5C0D"/>
    <w:rsid w:val="008F4E19"/>
    <w:rsid w:val="00942D6E"/>
    <w:rsid w:val="009447EA"/>
    <w:rsid w:val="00953926"/>
    <w:rsid w:val="00A2056C"/>
    <w:rsid w:val="00B033F0"/>
    <w:rsid w:val="00B72719"/>
    <w:rsid w:val="00C47F73"/>
    <w:rsid w:val="00CE3829"/>
    <w:rsid w:val="00CF2334"/>
    <w:rsid w:val="00DA112E"/>
    <w:rsid w:val="00DA38CE"/>
    <w:rsid w:val="00E84983"/>
    <w:rsid w:val="00EC147F"/>
    <w:rsid w:val="00EE16A0"/>
    <w:rsid w:val="00F240A2"/>
    <w:rsid w:val="00F948AC"/>
    <w:rsid w:val="00FF78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D69E14-6C6C-4150-A140-9C025EDAE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5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D219C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C47F73"/>
    <w:pPr>
      <w:spacing w:after="0" w:line="276" w:lineRule="auto"/>
      <w:ind w:left="720" w:firstLine="709"/>
      <w:contextualSpacing/>
      <w:jc w:val="both"/>
    </w:pPr>
    <w:rPr>
      <w:rFonts w:ascii="Calibri" w:eastAsia="Calibri" w:hAnsi="Calibri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397D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97DAA"/>
  </w:style>
  <w:style w:type="paragraph" w:styleId="a7">
    <w:name w:val="footer"/>
    <w:basedOn w:val="a"/>
    <w:link w:val="a8"/>
    <w:uiPriority w:val="99"/>
    <w:semiHidden/>
    <w:unhideWhenUsed/>
    <w:rsid w:val="00397D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97D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83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" TargetMode="External"/><Relationship Id="rId13" Type="http://schemas.openxmlformats.org/officeDocument/2006/relationships/hyperlink" Target="http://www.cikrf.ru/activity/docs/postanovleniya/47124/" TargetMode="External"/><Relationship Id="rId18" Type="http://schemas.openxmlformats.org/officeDocument/2006/relationships/hyperlink" Target="http://www.cikrf.ru/activity/docs/postanovleniya/49811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cikrf.ru/activity/docs/postanovleniya/49521/" TargetMode="External"/><Relationship Id="rId7" Type="http://schemas.openxmlformats.org/officeDocument/2006/relationships/hyperlink" Target="http://ivo.garant.ru/" TargetMode="External"/><Relationship Id="rId12" Type="http://schemas.openxmlformats.org/officeDocument/2006/relationships/hyperlink" Target="http://www.cikrf.ru/activity/docs/postanovleniya/42489/" TargetMode="External"/><Relationship Id="rId17" Type="http://schemas.openxmlformats.org/officeDocument/2006/relationships/hyperlink" Target="http://www.cikrf.ru/activity/docs/postanovleniya/49233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ikrf.ru/activity/docs/postanovleniya/49329/" TargetMode="External"/><Relationship Id="rId20" Type="http://schemas.openxmlformats.org/officeDocument/2006/relationships/hyperlink" Target="http://www.cikrf.ru/activity/docs/postanovleniya/49483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ikrf.ru/activity/docs/postanovleniya/28607/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cikrf.ru/activity/docs/postanovleniya/49499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cikrf.ru/activity/docs/postanovleniya/39021/" TargetMode="External"/><Relationship Id="rId19" Type="http://schemas.openxmlformats.org/officeDocument/2006/relationships/hyperlink" Target="http://www.cikrf.ru/activity/docs/postanovleniya/49827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ikrf.ru/activity/docs/postanovleniya/49558/" TargetMode="External"/><Relationship Id="rId14" Type="http://schemas.openxmlformats.org/officeDocument/2006/relationships/hyperlink" Target="http://www.cikrf.ru/activity/docs/postanovleniya/40468/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980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Romanova</dc:creator>
  <cp:keywords/>
  <dc:description/>
  <cp:lastModifiedBy>Romanova</cp:lastModifiedBy>
  <cp:revision>2</cp:revision>
  <cp:lastPrinted>2021-08-09T14:44:00Z</cp:lastPrinted>
  <dcterms:created xsi:type="dcterms:W3CDTF">2021-08-10T08:15:00Z</dcterms:created>
  <dcterms:modified xsi:type="dcterms:W3CDTF">2021-08-10T08:15:00Z</dcterms:modified>
</cp:coreProperties>
</file>